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809C7" w14:textId="77777777" w:rsidR="006A193E" w:rsidRDefault="00000000">
      <w:pPr>
        <w:pStyle w:val="FirstParagraph"/>
      </w:pPr>
      <w:r>
        <w:t>MOЯPHO — International Shipping Guide</w:t>
      </w:r>
    </w:p>
    <w:p w14:paraId="389BD004" w14:textId="77777777" w:rsidR="006A193E" w:rsidRDefault="00000000">
      <w:pPr>
        <w:pStyle w:val="BodyText"/>
      </w:pPr>
      <w:r>
        <w:rPr>
          <w:i/>
          <w:iCs/>
        </w:rPr>
        <w:t>What to expect when ordering from outside the UK</w:t>
      </w:r>
    </w:p>
    <w:p w14:paraId="4C87F02F" w14:textId="77777777" w:rsidR="006A193E" w:rsidRDefault="00000000">
      <w:pPr>
        <w:pStyle w:val="BodyText"/>
      </w:pPr>
      <w:r>
        <w:t>We’re happy to ship anywhere in the world. Because customs rules are set by each destination country rather than by us, delivery experience does vary quite a bit depending on where you’re ordering from. This page gives you a general, honest picture by region, so you know roughly what to expect before you order — please read the section for your country if you’re outside the UK.</w:t>
      </w:r>
    </w:p>
    <w:p w14:paraId="161626E6" w14:textId="77777777" w:rsidR="006A193E" w:rsidRDefault="00000000">
      <w:pPr>
        <w:pStyle w:val="BodyText"/>
      </w:pPr>
      <w:r>
        <w:rPr>
          <w:b/>
          <w:bCs/>
        </w:rPr>
        <w:t>The short version:</w:t>
      </w:r>
      <w:r>
        <w:t xml:space="preserve"> most orders arrive smoothly and on time. A small number of countries have stricter or slower customs processes, and in those cases you may be asked to pay a local import charge, or your order may take longer than usual. This is outside our control, but we’ve tried to flag where it’s more likely below.</w:t>
      </w:r>
    </w:p>
    <w:p w14:paraId="6ADF07A4" w14:textId="77777777" w:rsidR="006A193E" w:rsidRDefault="00000000">
      <w:r>
        <w:pict w14:anchorId="1EBBF0B4">
          <v:rect id="_x0000_i1025" style="width:0;height:1.5pt" o:hralign="center" o:hrstd="t" o:hr="t"/>
        </w:pict>
      </w:r>
    </w:p>
    <w:p w14:paraId="0935005D" w14:textId="77777777" w:rsidR="006A193E" w:rsidRDefault="00000000">
      <w:pPr>
        <w:pStyle w:val="Heading1"/>
      </w:pPr>
      <w:bookmarkStart w:id="0" w:name="uk-ireland"/>
      <w:r>
        <w:t>UK &amp; Ireland</w:t>
      </w:r>
    </w:p>
    <w:p w14:paraId="515BA4E9" w14:textId="77777777" w:rsidR="006A193E" w:rsidRDefault="00000000">
      <w:pPr>
        <w:pStyle w:val="FirstParagraph"/>
      </w:pPr>
      <w:r>
        <w:t>Standard delivery, no customs involved for UK orders. Orders to Ireland are usually smooth; occasionally, if an item is selected for import tax review, delivery is held until that’s settled locally — this is handled by the Irish postal service, not by us.</w:t>
      </w:r>
    </w:p>
    <w:p w14:paraId="43D2502B" w14:textId="77777777" w:rsidR="006A193E" w:rsidRDefault="00000000">
      <w:pPr>
        <w:pStyle w:val="Heading1"/>
      </w:pPr>
      <w:bookmarkStart w:id="1" w:name="X3d047f53263c6a28bd74f336d6ed7b6c13ab736"/>
      <w:bookmarkEnd w:id="0"/>
      <w:r>
        <w:t>Western Europe (France, Germany, Netherlands, Belgium, Spain, Austria, Sweden, Switzerland, Luxembourg)</w:t>
      </w:r>
    </w:p>
    <w:p w14:paraId="765A4D12" w14:textId="77777777" w:rsidR="006A193E" w:rsidRDefault="00000000">
      <w:pPr>
        <w:pStyle w:val="FirstParagraph"/>
      </w:pPr>
      <w:r>
        <w:t>This is generally our fastest and most reliable international region. Switzerland in particular has efficient, predictable customs processing despite being outside the EU. Occasional short delays can happen around local public holidays.</w:t>
      </w:r>
    </w:p>
    <w:p w14:paraId="014BA860" w14:textId="77777777" w:rsidR="006A193E" w:rsidRDefault="00000000">
      <w:pPr>
        <w:pStyle w:val="Heading1"/>
      </w:pPr>
      <w:bookmarkStart w:id="2" w:name="rest-of-the-european-union"/>
      <w:bookmarkEnd w:id="1"/>
      <w:r>
        <w:t>Rest of the European Union</w:t>
      </w:r>
    </w:p>
    <w:p w14:paraId="4E870FAA" w14:textId="77777777" w:rsidR="006A193E" w:rsidRDefault="00000000">
      <w:pPr>
        <w:pStyle w:val="FirstParagraph"/>
      </w:pPr>
      <w:r>
        <w:t>Delivery is generally reliable across the EU. As of mid-2026, EU-wide customs rule changes mean a small import charge may now apply to lower-value orders that previously had none — this is a general EU policy shift, not specific to any one country, and the amount involved is typically small. A couple of EU countries have introduced their own additional small per-parcel charges on top of this; these are outside our control and set by the destination country, not by us.</w:t>
      </w:r>
    </w:p>
    <w:p w14:paraId="2E70CDB8" w14:textId="77777777" w:rsidR="006A193E" w:rsidRDefault="00000000">
      <w:pPr>
        <w:pStyle w:val="Heading1"/>
      </w:pPr>
      <w:bookmarkStart w:id="3" w:name="usa-canada"/>
      <w:bookmarkEnd w:id="2"/>
      <w:r>
        <w:t>USA &amp; Canada</w:t>
      </w:r>
    </w:p>
    <w:p w14:paraId="3890CC6F" w14:textId="77777777" w:rsidR="006A193E" w:rsidRDefault="00000000">
      <w:pPr>
        <w:pStyle w:val="FirstParagraph"/>
      </w:pPr>
      <w:r>
        <w:t xml:space="preserve">A reliable, well-established route. Note that as of early 2026, the US applies an import charge to incoming parcels regardless of where they were made — this is a US government </w:t>
      </w:r>
      <w:r>
        <w:lastRenderedPageBreak/>
        <w:t>policy change affecting all overseas orders into the US, not specific to MOЯPHO. Canada remains straightforward.</w:t>
      </w:r>
    </w:p>
    <w:p w14:paraId="25FF87D5" w14:textId="77777777" w:rsidR="006A193E" w:rsidRDefault="00000000">
      <w:pPr>
        <w:pStyle w:val="Heading1"/>
      </w:pPr>
      <w:bookmarkStart w:id="4" w:name="australia-new-zealand"/>
      <w:bookmarkEnd w:id="3"/>
      <w:r>
        <w:t>Australia &amp; New Zealand</w:t>
      </w:r>
    </w:p>
    <w:p w14:paraId="570AB11F" w14:textId="77777777" w:rsidR="006A193E" w:rsidRDefault="00000000">
      <w:pPr>
        <w:pStyle w:val="FirstParagraph"/>
      </w:pPr>
      <w:r>
        <w:t>Reliable, but the furthest destinations generally take the longest to arrive — plan for extra time compared to European or North American orders.</w:t>
      </w:r>
    </w:p>
    <w:p w14:paraId="5039DBAF" w14:textId="77777777" w:rsidR="006A193E" w:rsidRDefault="00000000">
      <w:pPr>
        <w:pStyle w:val="Heading1"/>
      </w:pPr>
      <w:bookmarkStart w:id="5" w:name="asia"/>
      <w:bookmarkEnd w:id="4"/>
      <w:r>
        <w:t>Asia</w:t>
      </w:r>
    </w:p>
    <w:p w14:paraId="56ADB837" w14:textId="77777777" w:rsidR="006A193E" w:rsidRDefault="00000000">
      <w:pPr>
        <w:pStyle w:val="FirstParagraph"/>
      </w:pPr>
      <w:r>
        <w:t xml:space="preserve">Experience varies more by country here than anywhere else. Japan and South Korea are generally smooth. </w:t>
      </w:r>
      <w:r>
        <w:rPr>
          <w:b/>
          <w:bCs/>
        </w:rPr>
        <w:t>If you’re ordering from Thailand specifically</w:t>
      </w:r>
      <w:r>
        <w:t>, please note that recent changes to Thai customs rules mean most incoming parcels are now subject to a local import charge, payable on arrival — this changed relatively recently and is a Thai customs policy, not a MOЯPHO charge. Other Southeast Asian destinations may also involve a local import charge or a longer transit time than average.</w:t>
      </w:r>
    </w:p>
    <w:p w14:paraId="6181088B" w14:textId="77777777" w:rsidR="006A193E" w:rsidRDefault="00000000">
      <w:pPr>
        <w:pStyle w:val="Heading1"/>
      </w:pPr>
      <w:bookmarkStart w:id="6" w:name="central-south-america"/>
      <w:bookmarkEnd w:id="5"/>
      <w:r>
        <w:t>Central &amp; South America</w:t>
      </w:r>
    </w:p>
    <w:p w14:paraId="2E31B249" w14:textId="77777777" w:rsidR="006A193E" w:rsidRDefault="00000000">
      <w:pPr>
        <w:pStyle w:val="FirstParagraph"/>
      </w:pPr>
      <w:r>
        <w:t xml:space="preserve">This is the region most likely to involve customs delays or additional local charges, and timeframes here are the least predictable of anywhere we ship. </w:t>
      </w:r>
      <w:r>
        <w:rPr>
          <w:b/>
          <w:bCs/>
        </w:rPr>
        <w:t>If you’re ordering from Brazil in particular</w:t>
      </w:r>
      <w:r>
        <w:t>, please be aware that Brazilian customs applies a substantial import tax to incoming parcels, and by law this cannot be prepaid by us on your behalf — it’s collected directly from you on arrival, along with your local tax ID. We’re happy to ship to Brazil, but please go in expecting this rather than being surprised by it.</w:t>
      </w:r>
    </w:p>
    <w:p w14:paraId="439162AD" w14:textId="77777777" w:rsidR="006A193E" w:rsidRDefault="00000000">
      <w:pPr>
        <w:pStyle w:val="Heading1"/>
      </w:pPr>
      <w:bookmarkStart w:id="7" w:name="rest-of-world"/>
      <w:bookmarkEnd w:id="6"/>
      <w:r>
        <w:t>Rest of World</w:t>
      </w:r>
    </w:p>
    <w:p w14:paraId="3B835D9D" w14:textId="77777777" w:rsidR="006A193E" w:rsidRDefault="00000000">
      <w:pPr>
        <w:pStyle w:val="FirstParagraph"/>
      </w:pPr>
      <w:r>
        <w:t>Occasionally, a specific country experiences a temporary disruption — a natural event, a local postal strike, or a period of regional instability — that delays international mail generally, not just orders from us. If this affects your destination at the time you order, we’ll let you know as soon as we’re aware.</w:t>
      </w:r>
    </w:p>
    <w:p w14:paraId="39AB36EA" w14:textId="77777777" w:rsidR="006A193E" w:rsidRDefault="00000000">
      <w:r>
        <w:pict w14:anchorId="2B0DEE2D">
          <v:rect id="_x0000_i1026" style="width:0;height:1.5pt" o:hralign="center" o:hrstd="t" o:hr="t"/>
        </w:pict>
      </w:r>
    </w:p>
    <w:p w14:paraId="7866718B" w14:textId="77777777" w:rsidR="006A193E" w:rsidRDefault="00000000">
      <w:pPr>
        <w:pStyle w:val="Heading1"/>
      </w:pPr>
      <w:bookmarkStart w:id="8" w:name="a-few-general-notes"/>
      <w:bookmarkEnd w:id="7"/>
      <w:r>
        <w:t>A Few General Notes</w:t>
      </w:r>
    </w:p>
    <w:p w14:paraId="0D1EC6BA" w14:textId="77777777" w:rsidR="006A193E" w:rsidRDefault="00000000">
      <w:pPr>
        <w:pStyle w:val="Compact"/>
        <w:numPr>
          <w:ilvl w:val="0"/>
          <w:numId w:val="2"/>
        </w:numPr>
      </w:pPr>
      <w:r>
        <w:rPr>
          <w:b/>
          <w:bCs/>
        </w:rPr>
        <w:t>Import duties and taxes, where they apply, are set by your country’s government, not by MOЯPHO</w:t>
      </w:r>
      <w:r>
        <w:t xml:space="preserve"> — we don’t add a markup, and in most cases we don’t see any of that money.</w:t>
      </w:r>
    </w:p>
    <w:p w14:paraId="70BA9054" w14:textId="77777777" w:rsidR="006A193E" w:rsidRDefault="00000000">
      <w:pPr>
        <w:pStyle w:val="Compact"/>
        <w:numPr>
          <w:ilvl w:val="0"/>
          <w:numId w:val="2"/>
        </w:numPr>
      </w:pPr>
      <w:r>
        <w:rPr>
          <w:b/>
          <w:bCs/>
        </w:rPr>
        <w:t>We cannot control or predict every country’s customs process.</w:t>
      </w:r>
      <w:r>
        <w:t xml:space="preserve"> The guidance above is our honest best understanding at the time of writing, not a guarantee for your specific order.</w:t>
      </w:r>
    </w:p>
    <w:p w14:paraId="403FE0A6" w14:textId="77777777" w:rsidR="006A193E" w:rsidRDefault="00000000">
      <w:pPr>
        <w:pStyle w:val="Compact"/>
        <w:numPr>
          <w:ilvl w:val="0"/>
          <w:numId w:val="2"/>
        </w:numPr>
      </w:pPr>
      <w:r>
        <w:rPr>
          <w:b/>
          <w:bCs/>
        </w:rPr>
        <w:lastRenderedPageBreak/>
        <w:t>If your order is delayed in customs,</w:t>
      </w:r>
      <w:r>
        <w:t xml:space="preserve"> it’s usually still moving — very few parcels are genuinely lost. Check your tracking link first; if it’s been unusually quiet for an extended period, contact us and we’ll look into it with the carrier.</w:t>
      </w:r>
    </w:p>
    <w:p w14:paraId="6D9A1D23" w14:textId="77777777" w:rsidR="006A193E" w:rsidRDefault="00000000">
      <w:pPr>
        <w:pStyle w:val="Compact"/>
        <w:numPr>
          <w:ilvl w:val="0"/>
          <w:numId w:val="2"/>
        </w:numPr>
      </w:pPr>
      <w:r>
        <w:rPr>
          <w:b/>
          <w:bCs/>
        </w:rPr>
        <w:t>This guide is updated periodically</w:t>
      </w:r>
      <w:r>
        <w:t xml:space="preserve"> as customs rules change around the world. If you’re ordering from a country not mentioned above and want a sense of what to expect, feel free to ask us before you order.</w:t>
      </w:r>
    </w:p>
    <w:p w14:paraId="4C5CC9F1" w14:textId="77777777" w:rsidR="006A193E" w:rsidRDefault="00000000">
      <w:pPr>
        <w:pStyle w:val="FirstParagraph"/>
        <w:rPr>
          <w:i/>
          <w:iCs/>
        </w:rPr>
      </w:pPr>
      <w:r>
        <w:rPr>
          <w:i/>
          <w:iCs/>
        </w:rPr>
        <w:t>Last updated: [month/</w:t>
      </w:r>
      <w:proofErr w:type="gramStart"/>
      <w:r>
        <w:rPr>
          <w:i/>
          <w:iCs/>
        </w:rPr>
        <w:t>year] —</w:t>
      </w:r>
      <w:proofErr w:type="gramEnd"/>
      <w:r>
        <w:rPr>
          <w:i/>
          <w:iCs/>
        </w:rPr>
        <w:t xml:space="preserve"> customs rules can change with little notice; this page reflects our understanding at the time of writing.</w:t>
      </w:r>
    </w:p>
    <w:p w14:paraId="5CC41C7D" w14:textId="77777777" w:rsidR="00C428D8" w:rsidRDefault="00C428D8" w:rsidP="00C428D8">
      <w:pPr>
        <w:pStyle w:val="BodyText"/>
      </w:pPr>
    </w:p>
    <w:p w14:paraId="2582A01E" w14:textId="77CD4C21" w:rsidR="00C428D8" w:rsidRDefault="00C428D8" w:rsidP="00C428D8">
      <w:pPr>
        <w:pStyle w:val="Heading2"/>
      </w:pPr>
      <w:r>
        <w:t>Shipping Zone Rates</w:t>
      </w:r>
    </w:p>
    <w:tbl>
      <w:tblPr>
        <w:tblStyle w:val="PlainTable1"/>
        <w:tblW w:w="0" w:type="auto"/>
        <w:tblLook w:val="04A0" w:firstRow="1" w:lastRow="0" w:firstColumn="1" w:lastColumn="0" w:noHBand="0" w:noVBand="1"/>
      </w:tblPr>
      <w:tblGrid>
        <w:gridCol w:w="1716"/>
        <w:gridCol w:w="4327"/>
        <w:gridCol w:w="1194"/>
      </w:tblGrid>
      <w:tr w:rsidR="00C428D8" w:rsidRPr="00C428D8" w14:paraId="7FE94AC8" w14:textId="77777777" w:rsidTr="00C428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998EE8" w14:textId="77777777" w:rsidR="00C428D8" w:rsidRPr="00C428D8" w:rsidRDefault="00C428D8" w:rsidP="00C428D8">
            <w:pPr>
              <w:pStyle w:val="BodyText"/>
              <w:rPr>
                <w:lang w:val="en-GB"/>
              </w:rPr>
            </w:pPr>
            <w:r w:rsidRPr="00C428D8">
              <w:rPr>
                <w:lang w:val="en-GB"/>
              </w:rPr>
              <w:t>Zone</w:t>
            </w:r>
          </w:p>
        </w:tc>
        <w:tc>
          <w:tcPr>
            <w:tcW w:w="0" w:type="auto"/>
            <w:hideMark/>
          </w:tcPr>
          <w:p w14:paraId="520C2356" w14:textId="77777777" w:rsidR="00C428D8" w:rsidRPr="00C428D8" w:rsidRDefault="00C428D8" w:rsidP="00C428D8">
            <w:pPr>
              <w:pStyle w:val="BodyText"/>
              <w:cnfStyle w:val="100000000000" w:firstRow="1" w:lastRow="0" w:firstColumn="0" w:lastColumn="0" w:oddVBand="0" w:evenVBand="0" w:oddHBand="0" w:evenHBand="0" w:firstRowFirstColumn="0" w:firstRowLastColumn="0" w:lastRowFirstColumn="0" w:lastRowLastColumn="0"/>
              <w:rPr>
                <w:lang w:val="en-GB"/>
              </w:rPr>
            </w:pPr>
            <w:r w:rsidRPr="00C428D8">
              <w:rPr>
                <w:lang w:val="en-GB"/>
              </w:rPr>
              <w:t>Countries</w:t>
            </w:r>
          </w:p>
        </w:tc>
        <w:tc>
          <w:tcPr>
            <w:tcW w:w="0" w:type="auto"/>
            <w:hideMark/>
          </w:tcPr>
          <w:p w14:paraId="36B477E7" w14:textId="77777777" w:rsidR="00C428D8" w:rsidRPr="00C428D8" w:rsidRDefault="00C428D8" w:rsidP="00C428D8">
            <w:pPr>
              <w:pStyle w:val="BodyText"/>
              <w:cnfStyle w:val="100000000000" w:firstRow="1" w:lastRow="0" w:firstColumn="0" w:lastColumn="0" w:oddVBand="0" w:evenVBand="0" w:oddHBand="0" w:evenHBand="0" w:firstRowFirstColumn="0" w:firstRowLastColumn="0" w:lastRowFirstColumn="0" w:lastRowLastColumn="0"/>
              <w:rPr>
                <w:lang w:val="en-GB"/>
              </w:rPr>
            </w:pPr>
            <w:r w:rsidRPr="00C428D8">
              <w:rPr>
                <w:lang w:val="en-GB"/>
              </w:rPr>
              <w:t>Flat Rate</w:t>
            </w:r>
          </w:p>
        </w:tc>
      </w:tr>
      <w:tr w:rsidR="00C428D8" w:rsidRPr="00C428D8" w14:paraId="657BF168" w14:textId="77777777" w:rsidTr="00C42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3E6E25A" w14:textId="77777777" w:rsidR="00C428D8" w:rsidRPr="00C428D8" w:rsidRDefault="00C428D8" w:rsidP="00C428D8">
            <w:pPr>
              <w:pStyle w:val="BodyText"/>
              <w:rPr>
                <w:lang w:val="en-GB"/>
              </w:rPr>
            </w:pPr>
            <w:r w:rsidRPr="00C428D8">
              <w:rPr>
                <w:lang w:val="en-GB"/>
              </w:rPr>
              <w:t>UK &amp; Ireland</w:t>
            </w:r>
          </w:p>
        </w:tc>
        <w:tc>
          <w:tcPr>
            <w:tcW w:w="0" w:type="auto"/>
            <w:hideMark/>
          </w:tcPr>
          <w:p w14:paraId="3B866EBD" w14:textId="77777777" w:rsidR="00C428D8" w:rsidRPr="00C428D8" w:rsidRDefault="00C428D8" w:rsidP="00C428D8">
            <w:pPr>
              <w:pStyle w:val="BodyText"/>
              <w:cnfStyle w:val="000000100000" w:firstRow="0" w:lastRow="0" w:firstColumn="0" w:lastColumn="0" w:oddVBand="0" w:evenVBand="0" w:oddHBand="1" w:evenHBand="0" w:firstRowFirstColumn="0" w:firstRowLastColumn="0" w:lastRowFirstColumn="0" w:lastRowLastColumn="0"/>
              <w:rPr>
                <w:lang w:val="en-GB"/>
              </w:rPr>
            </w:pPr>
            <w:r w:rsidRPr="00C428D8">
              <w:rPr>
                <w:lang w:val="en-GB"/>
              </w:rPr>
              <w:t>UK, Ireland</w:t>
            </w:r>
          </w:p>
        </w:tc>
        <w:tc>
          <w:tcPr>
            <w:tcW w:w="0" w:type="auto"/>
            <w:hideMark/>
          </w:tcPr>
          <w:p w14:paraId="2F530C8C" w14:textId="77777777" w:rsidR="00C428D8" w:rsidRPr="00C428D8" w:rsidRDefault="00C428D8" w:rsidP="00C428D8">
            <w:pPr>
              <w:pStyle w:val="BodyText"/>
              <w:cnfStyle w:val="000000100000" w:firstRow="0" w:lastRow="0" w:firstColumn="0" w:lastColumn="0" w:oddVBand="0" w:evenVBand="0" w:oddHBand="1" w:evenHBand="0" w:firstRowFirstColumn="0" w:firstRowLastColumn="0" w:lastRowFirstColumn="0" w:lastRowLastColumn="0"/>
              <w:rPr>
                <w:lang w:val="en-GB"/>
              </w:rPr>
            </w:pPr>
            <w:r w:rsidRPr="00C428D8">
              <w:rPr>
                <w:b/>
                <w:bCs/>
                <w:lang w:val="en-GB"/>
              </w:rPr>
              <w:t>£5.49</w:t>
            </w:r>
          </w:p>
        </w:tc>
      </w:tr>
      <w:tr w:rsidR="00C428D8" w:rsidRPr="00C428D8" w14:paraId="3A769770" w14:textId="77777777" w:rsidTr="00C428D8">
        <w:tc>
          <w:tcPr>
            <w:cnfStyle w:val="001000000000" w:firstRow="0" w:lastRow="0" w:firstColumn="1" w:lastColumn="0" w:oddVBand="0" w:evenVBand="0" w:oddHBand="0" w:evenHBand="0" w:firstRowFirstColumn="0" w:firstRowLastColumn="0" w:lastRowFirstColumn="0" w:lastRowLastColumn="0"/>
            <w:tcW w:w="0" w:type="auto"/>
            <w:hideMark/>
          </w:tcPr>
          <w:p w14:paraId="5EE91CB0" w14:textId="77777777" w:rsidR="00C428D8" w:rsidRPr="00C428D8" w:rsidRDefault="00C428D8" w:rsidP="00C428D8">
            <w:pPr>
              <w:pStyle w:val="BodyText"/>
              <w:rPr>
                <w:lang w:val="en-GB"/>
              </w:rPr>
            </w:pPr>
            <w:r w:rsidRPr="00C428D8">
              <w:rPr>
                <w:lang w:val="en-GB"/>
              </w:rPr>
              <w:t>Europe</w:t>
            </w:r>
          </w:p>
        </w:tc>
        <w:tc>
          <w:tcPr>
            <w:tcW w:w="0" w:type="auto"/>
            <w:hideMark/>
          </w:tcPr>
          <w:p w14:paraId="2FFE7A15" w14:textId="77777777" w:rsidR="00C428D8" w:rsidRPr="00C428D8" w:rsidRDefault="00C428D8" w:rsidP="00C428D8">
            <w:pPr>
              <w:pStyle w:val="BodyText"/>
              <w:cnfStyle w:val="000000000000" w:firstRow="0" w:lastRow="0" w:firstColumn="0" w:lastColumn="0" w:oddVBand="0" w:evenVBand="0" w:oddHBand="0" w:evenHBand="0" w:firstRowFirstColumn="0" w:firstRowLastColumn="0" w:lastRowFirstColumn="0" w:lastRowLastColumn="0"/>
              <w:rPr>
                <w:lang w:val="en-GB"/>
              </w:rPr>
            </w:pPr>
            <w:r w:rsidRPr="00C428D8">
              <w:rPr>
                <w:lang w:val="en-GB"/>
              </w:rPr>
              <w:t>Rest of EU, incl. Eastern Europe</w:t>
            </w:r>
          </w:p>
        </w:tc>
        <w:tc>
          <w:tcPr>
            <w:tcW w:w="0" w:type="auto"/>
            <w:hideMark/>
          </w:tcPr>
          <w:p w14:paraId="509E51EB" w14:textId="77777777" w:rsidR="00C428D8" w:rsidRPr="00C428D8" w:rsidRDefault="00C428D8" w:rsidP="00C428D8">
            <w:pPr>
              <w:pStyle w:val="BodyText"/>
              <w:cnfStyle w:val="000000000000" w:firstRow="0" w:lastRow="0" w:firstColumn="0" w:lastColumn="0" w:oddVBand="0" w:evenVBand="0" w:oddHBand="0" w:evenHBand="0" w:firstRowFirstColumn="0" w:firstRowLastColumn="0" w:lastRowFirstColumn="0" w:lastRowLastColumn="0"/>
              <w:rPr>
                <w:lang w:val="en-GB"/>
              </w:rPr>
            </w:pPr>
            <w:r w:rsidRPr="00C428D8">
              <w:rPr>
                <w:b/>
                <w:bCs/>
                <w:lang w:val="en-GB"/>
              </w:rPr>
              <w:t>£9.99</w:t>
            </w:r>
          </w:p>
        </w:tc>
      </w:tr>
      <w:tr w:rsidR="00C428D8" w:rsidRPr="00C428D8" w14:paraId="76B83B8C" w14:textId="77777777" w:rsidTr="00C42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29C7428" w14:textId="77777777" w:rsidR="00C428D8" w:rsidRPr="00C428D8" w:rsidRDefault="00C428D8" w:rsidP="00C428D8">
            <w:pPr>
              <w:pStyle w:val="BodyText"/>
              <w:rPr>
                <w:lang w:val="en-GB"/>
              </w:rPr>
            </w:pPr>
            <w:r w:rsidRPr="00C428D8">
              <w:rPr>
                <w:lang w:val="en-GB"/>
              </w:rPr>
              <w:t>USA</w:t>
            </w:r>
          </w:p>
        </w:tc>
        <w:tc>
          <w:tcPr>
            <w:tcW w:w="0" w:type="auto"/>
            <w:hideMark/>
          </w:tcPr>
          <w:p w14:paraId="772125E1" w14:textId="77777777" w:rsidR="00C428D8" w:rsidRPr="00C428D8" w:rsidRDefault="00C428D8" w:rsidP="00C428D8">
            <w:pPr>
              <w:pStyle w:val="BodyText"/>
              <w:cnfStyle w:val="000000100000" w:firstRow="0" w:lastRow="0" w:firstColumn="0" w:lastColumn="0" w:oddVBand="0" w:evenVBand="0" w:oddHBand="1" w:evenHBand="0" w:firstRowFirstColumn="0" w:firstRowLastColumn="0" w:lastRowFirstColumn="0" w:lastRowLastColumn="0"/>
              <w:rPr>
                <w:lang w:val="en-GB"/>
              </w:rPr>
            </w:pPr>
            <w:r w:rsidRPr="00C428D8">
              <w:rPr>
                <w:lang w:val="en-GB"/>
              </w:rPr>
              <w:t>United States</w:t>
            </w:r>
          </w:p>
        </w:tc>
        <w:tc>
          <w:tcPr>
            <w:tcW w:w="0" w:type="auto"/>
            <w:hideMark/>
          </w:tcPr>
          <w:p w14:paraId="4DB7129D" w14:textId="77777777" w:rsidR="00C428D8" w:rsidRPr="00C428D8" w:rsidRDefault="00C428D8" w:rsidP="00C428D8">
            <w:pPr>
              <w:pStyle w:val="BodyText"/>
              <w:cnfStyle w:val="000000100000" w:firstRow="0" w:lastRow="0" w:firstColumn="0" w:lastColumn="0" w:oddVBand="0" w:evenVBand="0" w:oddHBand="1" w:evenHBand="0" w:firstRowFirstColumn="0" w:firstRowLastColumn="0" w:lastRowFirstColumn="0" w:lastRowLastColumn="0"/>
              <w:rPr>
                <w:lang w:val="en-GB"/>
              </w:rPr>
            </w:pPr>
            <w:r w:rsidRPr="00C428D8">
              <w:rPr>
                <w:b/>
                <w:bCs/>
                <w:lang w:val="en-GB"/>
              </w:rPr>
              <w:t>£12.99</w:t>
            </w:r>
          </w:p>
        </w:tc>
      </w:tr>
      <w:tr w:rsidR="00C428D8" w:rsidRPr="00C428D8" w14:paraId="60728B7E" w14:textId="77777777" w:rsidTr="00C428D8">
        <w:tc>
          <w:tcPr>
            <w:cnfStyle w:val="001000000000" w:firstRow="0" w:lastRow="0" w:firstColumn="1" w:lastColumn="0" w:oddVBand="0" w:evenVBand="0" w:oddHBand="0" w:evenHBand="0" w:firstRowFirstColumn="0" w:firstRowLastColumn="0" w:lastRowFirstColumn="0" w:lastRowLastColumn="0"/>
            <w:tcW w:w="0" w:type="auto"/>
            <w:hideMark/>
          </w:tcPr>
          <w:p w14:paraId="14D15DC7" w14:textId="77777777" w:rsidR="00C428D8" w:rsidRPr="00C428D8" w:rsidRDefault="00C428D8" w:rsidP="00C428D8">
            <w:pPr>
              <w:pStyle w:val="BodyText"/>
              <w:rPr>
                <w:lang w:val="en-GB"/>
              </w:rPr>
            </w:pPr>
            <w:r w:rsidRPr="00C428D8">
              <w:rPr>
                <w:lang w:val="en-GB"/>
              </w:rPr>
              <w:t>Rest of World</w:t>
            </w:r>
          </w:p>
        </w:tc>
        <w:tc>
          <w:tcPr>
            <w:tcW w:w="0" w:type="auto"/>
            <w:hideMark/>
          </w:tcPr>
          <w:p w14:paraId="3F0765B2" w14:textId="77777777" w:rsidR="00C428D8" w:rsidRPr="00C428D8" w:rsidRDefault="00C428D8" w:rsidP="00C428D8">
            <w:pPr>
              <w:pStyle w:val="BodyText"/>
              <w:cnfStyle w:val="000000000000" w:firstRow="0" w:lastRow="0" w:firstColumn="0" w:lastColumn="0" w:oddVBand="0" w:evenVBand="0" w:oddHBand="0" w:evenHBand="0" w:firstRowFirstColumn="0" w:firstRowLastColumn="0" w:lastRowFirstColumn="0" w:lastRowLastColumn="0"/>
              <w:rPr>
                <w:lang w:val="en-GB"/>
              </w:rPr>
            </w:pPr>
            <w:r w:rsidRPr="00C428D8">
              <w:rPr>
                <w:lang w:val="en-GB"/>
              </w:rPr>
              <w:t>Australia, Canada, Asia, everywhere else</w:t>
            </w:r>
          </w:p>
        </w:tc>
        <w:tc>
          <w:tcPr>
            <w:tcW w:w="0" w:type="auto"/>
            <w:hideMark/>
          </w:tcPr>
          <w:p w14:paraId="19D545AB" w14:textId="77777777" w:rsidR="00C428D8" w:rsidRPr="00C428D8" w:rsidRDefault="00C428D8" w:rsidP="00C428D8">
            <w:pPr>
              <w:pStyle w:val="BodyText"/>
              <w:cnfStyle w:val="000000000000" w:firstRow="0" w:lastRow="0" w:firstColumn="0" w:lastColumn="0" w:oddVBand="0" w:evenVBand="0" w:oddHBand="0" w:evenHBand="0" w:firstRowFirstColumn="0" w:firstRowLastColumn="0" w:lastRowFirstColumn="0" w:lastRowLastColumn="0"/>
              <w:rPr>
                <w:lang w:val="en-GB"/>
              </w:rPr>
            </w:pPr>
            <w:r w:rsidRPr="00C428D8">
              <w:rPr>
                <w:b/>
                <w:bCs/>
                <w:lang w:val="en-GB"/>
              </w:rPr>
              <w:t>£14.99</w:t>
            </w:r>
          </w:p>
        </w:tc>
      </w:tr>
      <w:bookmarkEnd w:id="8"/>
    </w:tbl>
    <w:p w14:paraId="2AE8A82E" w14:textId="7517245E" w:rsidR="00C428D8" w:rsidRPr="00C428D8" w:rsidRDefault="00C428D8" w:rsidP="00C428D8">
      <w:pPr>
        <w:pStyle w:val="BodyText"/>
      </w:pPr>
    </w:p>
    <w:sectPr w:rsidR="00C428D8" w:rsidRPr="00C428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FB629" w14:textId="77777777" w:rsidR="00882F81" w:rsidRDefault="00882F81">
      <w:pPr>
        <w:spacing w:after="0"/>
      </w:pPr>
      <w:r>
        <w:separator/>
      </w:r>
    </w:p>
  </w:endnote>
  <w:endnote w:type="continuationSeparator" w:id="0">
    <w:p w14:paraId="2E6978A8" w14:textId="77777777" w:rsidR="00882F81" w:rsidRDefault="00882F8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3FFAD" w14:textId="77777777" w:rsidR="00882F81" w:rsidRDefault="00882F81">
      <w:r>
        <w:separator/>
      </w:r>
    </w:p>
  </w:footnote>
  <w:footnote w:type="continuationSeparator" w:id="0">
    <w:p w14:paraId="5053FA5C" w14:textId="77777777" w:rsidR="00882F81" w:rsidRDefault="00882F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EBB66A00"/>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446E7B3C"/>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16cid:durableId="475029623">
    <w:abstractNumId w:val="0"/>
  </w:num>
  <w:num w:numId="2" w16cid:durableId="917330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A193E"/>
    <w:rsid w:val="00010CEA"/>
    <w:rsid w:val="006A193E"/>
    <w:rsid w:val="00882F81"/>
    <w:rsid w:val="00C428D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4AB48"/>
  <w15:docId w15:val="{9FA23A62-B389-4E1D-A2DE-7B50EFA56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PlainTable1">
    <w:name w:val="Plain Table 1"/>
    <w:basedOn w:val="TableNormal"/>
    <w:rsid w:val="00C428D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732</Words>
  <Characters>4179</Characters>
  <Application>Microsoft Office Word</Application>
  <DocSecurity>0</DocSecurity>
  <Lines>34</Lines>
  <Paragraphs>9</Paragraphs>
  <ScaleCrop>false</ScaleCrop>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Miti Kovacs</cp:lastModifiedBy>
  <cp:revision>2</cp:revision>
  <dcterms:created xsi:type="dcterms:W3CDTF">2026-07-04T16:08:00Z</dcterms:created>
  <dcterms:modified xsi:type="dcterms:W3CDTF">2026-07-05T07:05:00Z</dcterms:modified>
</cp:coreProperties>
</file>